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5770B" w14:textId="77777777" w:rsidR="00A62A82" w:rsidRDefault="005074DA" w:rsidP="005074DA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A2E94">
        <w:rPr>
          <w:b/>
          <w:bCs/>
        </w:rPr>
        <w:tab/>
      </w:r>
      <w:r w:rsidR="005A2E94">
        <w:rPr>
          <w:b/>
          <w:bCs/>
        </w:rPr>
        <w:tab/>
      </w:r>
      <w:r w:rsidR="00A62A82">
        <w:rPr>
          <w:b/>
          <w:bCs/>
        </w:rPr>
        <w:tab/>
      </w:r>
      <w:r w:rsidR="00A62A82">
        <w:rPr>
          <w:b/>
          <w:bCs/>
        </w:rPr>
        <w:tab/>
      </w:r>
    </w:p>
    <w:p w14:paraId="3455062F" w14:textId="50E74759" w:rsidR="005074DA" w:rsidRPr="006D2EE9" w:rsidRDefault="00A86513" w:rsidP="00A62A82">
      <w:pPr>
        <w:spacing w:after="0" w:line="240" w:lineRule="auto"/>
        <w:jc w:val="right"/>
      </w:pPr>
      <w:r>
        <w:t>[-] January</w:t>
      </w:r>
      <w:r w:rsidR="005074DA">
        <w:t>, 202</w:t>
      </w:r>
      <w:r>
        <w:t>6</w:t>
      </w:r>
    </w:p>
    <w:p w14:paraId="4B94C06E" w14:textId="3CDAFD09" w:rsidR="00CF7D90" w:rsidRDefault="00CF7D90">
      <w:pPr>
        <w:rPr>
          <w:b/>
          <w:bCs/>
        </w:rPr>
      </w:pPr>
    </w:p>
    <w:p w14:paraId="5599C77B" w14:textId="77777777" w:rsidR="00B1523B" w:rsidRDefault="00B1523B" w:rsidP="00FB4873">
      <w:pPr>
        <w:spacing w:after="0" w:line="240" w:lineRule="auto"/>
        <w:jc w:val="both"/>
        <w:rPr>
          <w:b/>
        </w:rPr>
      </w:pPr>
    </w:p>
    <w:p w14:paraId="68C4E4F5" w14:textId="1EDE6A1E" w:rsidR="00FB4873" w:rsidRPr="00943A15" w:rsidRDefault="00FB4873" w:rsidP="00FB4873">
      <w:pPr>
        <w:spacing w:after="0" w:line="240" w:lineRule="auto"/>
        <w:jc w:val="both"/>
        <w:rPr>
          <w:b/>
        </w:rPr>
      </w:pPr>
      <w:r w:rsidRPr="00943A15">
        <w:rPr>
          <w:b/>
        </w:rPr>
        <w:t>COMPANY ANNOUNCEMENT</w:t>
      </w:r>
    </w:p>
    <w:p w14:paraId="64906E95" w14:textId="77777777" w:rsidR="00FB4873" w:rsidRPr="00943A15" w:rsidRDefault="00FB4873" w:rsidP="00FB4873">
      <w:pPr>
        <w:spacing w:after="0" w:line="240" w:lineRule="auto"/>
        <w:jc w:val="both"/>
      </w:pPr>
    </w:p>
    <w:p w14:paraId="13EF3355" w14:textId="0DDA7063" w:rsidR="00FB4873" w:rsidRPr="006D2EE9" w:rsidRDefault="00FB4873" w:rsidP="00FB4873">
      <w:pPr>
        <w:spacing w:after="0" w:line="240" w:lineRule="auto"/>
        <w:jc w:val="both"/>
        <w:rPr>
          <w:i/>
        </w:rPr>
      </w:pPr>
      <w:r w:rsidRPr="006D2EE9">
        <w:rPr>
          <w:i/>
        </w:rPr>
        <w:t>Reference: (0</w:t>
      </w:r>
      <w:r w:rsidR="00A9031E">
        <w:rPr>
          <w:i/>
        </w:rPr>
        <w:t>1</w:t>
      </w:r>
      <w:r w:rsidRPr="006D2EE9">
        <w:rPr>
          <w:i/>
        </w:rPr>
        <w:t>/202</w:t>
      </w:r>
      <w:r w:rsidR="00A9031E">
        <w:rPr>
          <w:i/>
        </w:rPr>
        <w:t>6</w:t>
      </w:r>
      <w:r>
        <w:rPr>
          <w:i/>
        </w:rPr>
        <w:t>)</w:t>
      </w:r>
    </w:p>
    <w:p w14:paraId="5A90F841" w14:textId="77777777" w:rsidR="00FB4873" w:rsidRPr="006D2EE9" w:rsidRDefault="00FB4873" w:rsidP="00FB4873">
      <w:pPr>
        <w:spacing w:after="0" w:line="240" w:lineRule="auto"/>
        <w:jc w:val="both"/>
      </w:pPr>
    </w:p>
    <w:p w14:paraId="2A53A39F" w14:textId="18B683BC" w:rsidR="00D82677" w:rsidRDefault="00A9031E" w:rsidP="00FB4873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2026 Financial Calendar</w:t>
      </w:r>
    </w:p>
    <w:p w14:paraId="0054E310" w14:textId="77777777" w:rsidR="00D82677" w:rsidRDefault="00D82677" w:rsidP="00FB4873">
      <w:pPr>
        <w:spacing w:after="0" w:line="240" w:lineRule="auto"/>
        <w:jc w:val="both"/>
        <w:rPr>
          <w:b/>
          <w:bCs/>
        </w:rPr>
      </w:pPr>
    </w:p>
    <w:p w14:paraId="27D5EAD0" w14:textId="65B8DF21" w:rsidR="00FB4873" w:rsidRPr="006D2EE9" w:rsidRDefault="00FB4873" w:rsidP="00FB4873">
      <w:pPr>
        <w:spacing w:after="0" w:line="240" w:lineRule="auto"/>
        <w:jc w:val="both"/>
      </w:pPr>
      <w:r w:rsidRPr="006D2EE9">
        <w:t xml:space="preserve">This </w:t>
      </w:r>
      <w:r w:rsidR="00F55923">
        <w:t xml:space="preserve">is </w:t>
      </w:r>
      <w:r w:rsidRPr="006D2EE9">
        <w:t xml:space="preserve">a company announcement issued by </w:t>
      </w:r>
      <w:r>
        <w:t>M&amp;Z plc</w:t>
      </w:r>
      <w:r w:rsidRPr="006D2EE9">
        <w:t xml:space="preserve"> (C </w:t>
      </w:r>
      <w:r>
        <w:t>23061</w:t>
      </w:r>
      <w:r w:rsidRPr="006D2EE9">
        <w:t>) (the "</w:t>
      </w:r>
      <w:r w:rsidRPr="006D2EE9">
        <w:rPr>
          <w:b/>
          <w:bCs/>
        </w:rPr>
        <w:t>Company</w:t>
      </w:r>
      <w:r w:rsidRPr="006D2EE9">
        <w:t xml:space="preserve">") pursuant to </w:t>
      </w:r>
      <w:r w:rsidR="00587DE1">
        <w:t>Chapter 5</w:t>
      </w:r>
      <w:r w:rsidR="000C2952">
        <w:t xml:space="preserve"> of </w:t>
      </w:r>
      <w:r w:rsidRPr="006D2EE9">
        <w:t xml:space="preserve">the </w:t>
      </w:r>
      <w:r>
        <w:t>Capital Market</w:t>
      </w:r>
      <w:r w:rsidR="008E4567">
        <w:t>s</w:t>
      </w:r>
      <w:r>
        <w:t xml:space="preserve"> R</w:t>
      </w:r>
      <w:r w:rsidRPr="006D2EE9">
        <w:t xml:space="preserve">ules issued by the </w:t>
      </w:r>
      <w:r>
        <w:t>Malta Financial Services Authority</w:t>
      </w:r>
      <w:r w:rsidR="008E4567">
        <w:t xml:space="preserve">, </w:t>
      </w:r>
      <w:r w:rsidR="008E4567" w:rsidRPr="008E4567">
        <w:t>in accordance with the provisions of the Financial Markets Act (Chapter 345 of the Laws of Malta)</w:t>
      </w:r>
      <w:r w:rsidR="008E4567">
        <w:t>,</w:t>
      </w:r>
      <w:r w:rsidR="008E4567" w:rsidRPr="008E4567">
        <w:t xml:space="preserve"> as they may be amended from time to time</w:t>
      </w:r>
      <w:r>
        <w:t>.</w:t>
      </w:r>
    </w:p>
    <w:p w14:paraId="27D6D21A" w14:textId="77777777" w:rsidR="00513F32" w:rsidRDefault="00513F32" w:rsidP="00513F32">
      <w:pPr>
        <w:spacing w:after="0"/>
        <w:rPr>
          <w:b/>
          <w:bCs/>
        </w:rPr>
      </w:pPr>
    </w:p>
    <w:p w14:paraId="37620E8A" w14:textId="57A9CAD2" w:rsidR="00FB4873" w:rsidRDefault="00FB4873">
      <w:pPr>
        <w:rPr>
          <w:b/>
          <w:bCs/>
        </w:rPr>
      </w:pPr>
      <w:r>
        <w:rPr>
          <w:b/>
          <w:bCs/>
        </w:rPr>
        <w:t>QUOTE</w:t>
      </w:r>
    </w:p>
    <w:p w14:paraId="17DB88F3" w14:textId="77777777" w:rsidR="00A9031E" w:rsidRDefault="00D82677" w:rsidP="00FD0749">
      <w:pPr>
        <w:spacing w:after="0" w:line="240" w:lineRule="auto"/>
        <w:jc w:val="both"/>
      </w:pPr>
      <w:r>
        <w:t xml:space="preserve">The Board of Directors of the Company </w:t>
      </w:r>
      <w:r w:rsidR="00A9031E">
        <w:t>wishes to inform the market of the most pertinent dates in its Financial Calendar for 2026:</w:t>
      </w:r>
    </w:p>
    <w:p w14:paraId="11425EAE" w14:textId="77777777" w:rsidR="00A9031E" w:rsidRDefault="00A9031E" w:rsidP="00FD0749">
      <w:pPr>
        <w:spacing w:after="0" w:line="240" w:lineRule="auto"/>
        <w:jc w:val="both"/>
      </w:pPr>
    </w:p>
    <w:tbl>
      <w:tblPr>
        <w:tblW w:w="8930" w:type="dxa"/>
        <w:tblInd w:w="82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945"/>
      </w:tblGrid>
      <w:tr w:rsidR="00A9031E" w:rsidRPr="00A9031E" w14:paraId="29106BE5" w14:textId="77777777" w:rsidTr="00A9031E">
        <w:trPr>
          <w:trHeight w:val="265"/>
        </w:trPr>
        <w:tc>
          <w:tcPr>
            <w:tcW w:w="198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A4AC2BB" w14:textId="03E8EB72" w:rsidR="00A9031E" w:rsidRPr="00A9031E" w:rsidRDefault="00A9031E" w:rsidP="00A9031E">
            <w:pPr>
              <w:spacing w:line="240" w:lineRule="auto"/>
              <w:jc w:val="both"/>
            </w:pPr>
            <w:r>
              <w:t>29 April 2</w:t>
            </w:r>
            <w:r w:rsidRPr="00A9031E">
              <w:t xml:space="preserve">026 </w:t>
            </w:r>
          </w:p>
        </w:tc>
        <w:tc>
          <w:tcPr>
            <w:tcW w:w="694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11D3895" w14:textId="727A98A0" w:rsidR="00A9031E" w:rsidRPr="00A9031E" w:rsidRDefault="00A9031E" w:rsidP="00A9031E">
            <w:pPr>
              <w:spacing w:line="240" w:lineRule="auto"/>
              <w:ind w:right="171"/>
              <w:jc w:val="both"/>
            </w:pPr>
            <w:r>
              <w:t>Board Consideration</w:t>
            </w:r>
            <w:r w:rsidR="00B600B8">
              <w:t>,</w:t>
            </w:r>
            <w:r>
              <w:t xml:space="preserve"> Approval </w:t>
            </w:r>
            <w:r w:rsidR="00B600B8">
              <w:t xml:space="preserve">and Publication </w:t>
            </w:r>
            <w:r>
              <w:t xml:space="preserve">of </w:t>
            </w:r>
            <w:r w:rsidRPr="00A9031E">
              <w:t xml:space="preserve">2025 Annual Report </w:t>
            </w:r>
            <w:r w:rsidR="00B600B8">
              <w:t xml:space="preserve">&amp; </w:t>
            </w:r>
            <w:r w:rsidRPr="00A9031E">
              <w:t>Audited Financial Statements</w:t>
            </w:r>
          </w:p>
        </w:tc>
      </w:tr>
      <w:tr w:rsidR="00A9031E" w:rsidRPr="00A9031E" w14:paraId="2481D8EB" w14:textId="77777777" w:rsidTr="00A9031E">
        <w:trPr>
          <w:trHeight w:val="265"/>
        </w:trPr>
        <w:tc>
          <w:tcPr>
            <w:tcW w:w="198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C4BE6A4" w14:textId="331C5A62" w:rsidR="00A9031E" w:rsidRPr="00A9031E" w:rsidRDefault="00A9031E" w:rsidP="00A9031E">
            <w:pPr>
              <w:spacing w:line="240" w:lineRule="auto"/>
              <w:jc w:val="both"/>
            </w:pPr>
            <w:r>
              <w:t xml:space="preserve">1 June 2026 </w:t>
            </w:r>
          </w:p>
        </w:tc>
        <w:tc>
          <w:tcPr>
            <w:tcW w:w="694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6DC1797" w14:textId="3FBB0C43" w:rsidR="00A9031E" w:rsidRPr="00A9031E" w:rsidRDefault="00A9031E" w:rsidP="00A9031E">
            <w:pPr>
              <w:spacing w:line="240" w:lineRule="auto"/>
              <w:jc w:val="both"/>
            </w:pPr>
            <w:r>
              <w:t xml:space="preserve">2026 Annual General Meeting </w:t>
            </w:r>
          </w:p>
        </w:tc>
      </w:tr>
      <w:tr w:rsidR="00A9031E" w:rsidRPr="00A9031E" w14:paraId="1CA6BFC7" w14:textId="77777777" w:rsidTr="00A9031E">
        <w:trPr>
          <w:trHeight w:val="265"/>
        </w:trPr>
        <w:tc>
          <w:tcPr>
            <w:tcW w:w="198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330F0CD" w14:textId="7A49C4DA" w:rsidR="00A9031E" w:rsidRPr="00A9031E" w:rsidRDefault="00A9031E" w:rsidP="00A9031E">
            <w:pPr>
              <w:spacing w:line="240" w:lineRule="auto"/>
              <w:jc w:val="both"/>
            </w:pPr>
            <w:r>
              <w:t>25 August 2026</w:t>
            </w:r>
          </w:p>
        </w:tc>
        <w:tc>
          <w:tcPr>
            <w:tcW w:w="694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7928FE4" w14:textId="53C9BE93" w:rsidR="00A9031E" w:rsidRPr="00A9031E" w:rsidRDefault="00A9031E" w:rsidP="00A9031E">
            <w:pPr>
              <w:spacing w:line="240" w:lineRule="auto"/>
              <w:jc w:val="both"/>
            </w:pPr>
            <w:r>
              <w:t>Board Consideration</w:t>
            </w:r>
            <w:r w:rsidR="00B600B8">
              <w:t>,</w:t>
            </w:r>
            <w:r>
              <w:t xml:space="preserve"> Approval </w:t>
            </w:r>
            <w:r w:rsidR="00B600B8">
              <w:t xml:space="preserve">and Publication </w:t>
            </w:r>
            <w:r>
              <w:t xml:space="preserve">of </w:t>
            </w:r>
            <w:r w:rsidRPr="00A9031E">
              <w:t>20</w:t>
            </w:r>
            <w:r>
              <w:t>26 H</w:t>
            </w:r>
            <w:r w:rsidR="00BF5B0B">
              <w:t>1</w:t>
            </w:r>
            <w:r>
              <w:t xml:space="preserve"> Interim Financial St</w:t>
            </w:r>
            <w:r w:rsidRPr="00A9031E">
              <w:t>atements</w:t>
            </w:r>
          </w:p>
        </w:tc>
      </w:tr>
    </w:tbl>
    <w:p w14:paraId="684B2BCC" w14:textId="77777777" w:rsidR="00A9031E" w:rsidRDefault="00A9031E" w:rsidP="00FD0749">
      <w:pPr>
        <w:spacing w:after="0" w:line="240" w:lineRule="auto"/>
        <w:jc w:val="both"/>
      </w:pPr>
    </w:p>
    <w:p w14:paraId="47654ABC" w14:textId="77777777" w:rsidR="001159F5" w:rsidRDefault="001159F5" w:rsidP="001159F5">
      <w:pPr>
        <w:spacing w:after="0" w:line="240" w:lineRule="auto"/>
        <w:jc w:val="both"/>
      </w:pPr>
    </w:p>
    <w:p w14:paraId="31338BF2" w14:textId="19BBBF60" w:rsidR="00D71426" w:rsidRDefault="001159F5" w:rsidP="00D71426">
      <w:pPr>
        <w:spacing w:after="0" w:line="240" w:lineRule="auto"/>
        <w:jc w:val="both"/>
      </w:pPr>
      <w:r>
        <w:t>Stakeholders are to note that a</w:t>
      </w:r>
      <w:r w:rsidRPr="001159F5">
        <w:t>ll</w:t>
      </w:r>
      <w:r>
        <w:t xml:space="preserve"> abovementioned</w:t>
      </w:r>
      <w:r w:rsidRPr="001159F5">
        <w:t xml:space="preserve"> dates are indicative </w:t>
      </w:r>
      <w:r w:rsidR="00B600B8">
        <w:t xml:space="preserve">and </w:t>
      </w:r>
      <w:r>
        <w:t>may</w:t>
      </w:r>
      <w:r w:rsidRPr="001159F5">
        <w:t xml:space="preserve"> change. </w:t>
      </w:r>
      <w:r>
        <w:t xml:space="preserve">In the eventuality of any change to the abovementioned dates the Company </w:t>
      </w:r>
      <w:r w:rsidR="00B600B8">
        <w:t xml:space="preserve">will </w:t>
      </w:r>
      <w:r>
        <w:t xml:space="preserve">inform the market via Company Announcement accordingly. </w:t>
      </w:r>
    </w:p>
    <w:p w14:paraId="2724CF4B" w14:textId="77777777" w:rsidR="00D71426" w:rsidRDefault="00D71426" w:rsidP="00D71426">
      <w:pPr>
        <w:spacing w:after="0" w:line="240" w:lineRule="auto"/>
        <w:jc w:val="both"/>
      </w:pPr>
    </w:p>
    <w:p w14:paraId="4D1B7DF0" w14:textId="058603B3" w:rsidR="000C5758" w:rsidRDefault="000C5758" w:rsidP="000C5758">
      <w:pPr>
        <w:spacing w:after="0" w:line="240" w:lineRule="auto"/>
        <w:jc w:val="both"/>
      </w:pPr>
    </w:p>
    <w:p w14:paraId="6EA0519B" w14:textId="1BBF0CE0" w:rsidR="00FB4873" w:rsidRPr="008E4567" w:rsidRDefault="00FB4873">
      <w:pPr>
        <w:rPr>
          <w:b/>
          <w:bCs/>
        </w:rPr>
      </w:pPr>
      <w:r w:rsidRPr="008E4567">
        <w:rPr>
          <w:b/>
          <w:bCs/>
        </w:rPr>
        <w:t xml:space="preserve">UNQUOTE </w:t>
      </w:r>
    </w:p>
    <w:p w14:paraId="1E5ADB29" w14:textId="2BDD97C9" w:rsidR="00FB4873" w:rsidRDefault="00FB4873"/>
    <w:p w14:paraId="7CC1A4D6" w14:textId="4AE786D4" w:rsidR="00E723DB" w:rsidRDefault="00E723DB" w:rsidP="00FB4873">
      <w:pPr>
        <w:spacing w:after="0" w:line="240" w:lineRule="auto"/>
        <w:jc w:val="both"/>
      </w:pPr>
    </w:p>
    <w:p w14:paraId="2F2C4C68" w14:textId="77777777" w:rsidR="00D82677" w:rsidRDefault="00D82677" w:rsidP="00FB4873">
      <w:pPr>
        <w:spacing w:after="0" w:line="240" w:lineRule="auto"/>
        <w:jc w:val="both"/>
      </w:pPr>
    </w:p>
    <w:p w14:paraId="67B08BFB" w14:textId="0329FC53" w:rsidR="00FB4873" w:rsidRPr="006D2EE9" w:rsidRDefault="003F794C" w:rsidP="00FB4873">
      <w:pPr>
        <w:spacing w:after="0" w:line="240" w:lineRule="auto"/>
        <w:jc w:val="both"/>
      </w:pPr>
      <w:r>
        <w:t xml:space="preserve">Tara Cann Navarro </w:t>
      </w:r>
    </w:p>
    <w:p w14:paraId="73008B0B" w14:textId="50B093BC" w:rsidR="00FB4873" w:rsidRPr="006D2EE9" w:rsidRDefault="005074DA" w:rsidP="00FB4873">
      <w:pPr>
        <w:spacing w:after="0" w:line="240" w:lineRule="auto"/>
        <w:jc w:val="both"/>
      </w:pPr>
      <w:r>
        <w:t xml:space="preserve">On behalf of </w:t>
      </w:r>
      <w:r w:rsidR="00FB4873" w:rsidRPr="006D2EE9">
        <w:t xml:space="preserve">Ganado Services Limited </w:t>
      </w:r>
    </w:p>
    <w:p w14:paraId="423C1E38" w14:textId="36AC79D2" w:rsidR="00D82677" w:rsidRDefault="00FB4873" w:rsidP="001159F5">
      <w:pPr>
        <w:spacing w:after="0" w:line="240" w:lineRule="auto"/>
        <w:jc w:val="both"/>
        <w:rPr>
          <w:rFonts w:ascii="Gilroy Light" w:hAnsi="Gilroy Light"/>
          <w:color w:val="00B0F0"/>
          <w:sz w:val="16"/>
          <w:szCs w:val="16"/>
        </w:rPr>
      </w:pPr>
      <w:r w:rsidRPr="006D2EE9">
        <w:t xml:space="preserve">Company Secretary </w:t>
      </w:r>
    </w:p>
    <w:sectPr w:rsidR="00D82677" w:rsidSect="00A62A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7849B" w14:textId="77777777" w:rsidR="00CD152F" w:rsidRDefault="00CD152F" w:rsidP="00CD152F">
      <w:pPr>
        <w:spacing w:after="0" w:line="240" w:lineRule="auto"/>
      </w:pPr>
      <w:r>
        <w:separator/>
      </w:r>
    </w:p>
  </w:endnote>
  <w:endnote w:type="continuationSeparator" w:id="0">
    <w:p w14:paraId="149578C5" w14:textId="77777777" w:rsidR="00CD152F" w:rsidRDefault="00CD152F" w:rsidP="00CD1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roy Light">
    <w:altName w:val="Calibri"/>
    <w:panose1 w:val="00000000000000000000"/>
    <w:charset w:val="4D"/>
    <w:family w:val="auto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702D" w14:textId="77777777" w:rsidR="00A62A82" w:rsidRDefault="00A62A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C9470" w14:textId="77777777" w:rsidR="00A62A82" w:rsidRPr="003D57B5" w:rsidRDefault="00A62A82" w:rsidP="00A62A82">
    <w:pPr>
      <w:spacing w:after="0" w:line="240" w:lineRule="auto"/>
      <w:jc w:val="center"/>
      <w:rPr>
        <w:rFonts w:ascii="Gilroy Light" w:hAnsi="Gilroy Light"/>
        <w:sz w:val="16"/>
        <w:szCs w:val="16"/>
      </w:rPr>
    </w:pPr>
    <w:r w:rsidRPr="003D57B5">
      <w:rPr>
        <w:rFonts w:ascii="Gilroy Light" w:hAnsi="Gilroy Light"/>
        <w:color w:val="00B0F0"/>
        <w:sz w:val="16"/>
        <w:szCs w:val="16"/>
      </w:rPr>
      <w:t xml:space="preserve">Address: </w:t>
    </w:r>
    <w:r w:rsidRPr="003D57B5">
      <w:rPr>
        <w:rFonts w:ascii="Gilroy Light" w:hAnsi="Gilroy Light"/>
        <w:color w:val="002060"/>
        <w:sz w:val="16"/>
        <w:szCs w:val="16"/>
      </w:rPr>
      <w:t>M&amp;Z p.l.c., MMGH Complex, Industrial Estate, Marsa, MRS 3000, Malta</w:t>
    </w:r>
  </w:p>
  <w:p w14:paraId="1717371A" w14:textId="77777777" w:rsidR="00A62A82" w:rsidRDefault="00A62A82" w:rsidP="00A62A82">
    <w:pPr>
      <w:spacing w:after="0" w:line="240" w:lineRule="auto"/>
      <w:jc w:val="center"/>
      <w:rPr>
        <w:rFonts w:ascii="Gilroy Light" w:hAnsi="Gilroy Light"/>
        <w:color w:val="002060"/>
        <w:sz w:val="16"/>
        <w:szCs w:val="16"/>
      </w:rPr>
    </w:pPr>
    <w:r w:rsidRPr="003D57B5">
      <w:rPr>
        <w:rFonts w:ascii="Gilroy Light" w:hAnsi="Gilroy Light"/>
        <w:color w:val="00B0F0"/>
        <w:sz w:val="16"/>
        <w:szCs w:val="16"/>
      </w:rPr>
      <w:t xml:space="preserve">Telephone: </w:t>
    </w:r>
    <w:r w:rsidRPr="003D57B5">
      <w:rPr>
        <w:rFonts w:ascii="Gilroy Light" w:hAnsi="Gilroy Light"/>
        <w:color w:val="002060"/>
        <w:sz w:val="16"/>
        <w:szCs w:val="16"/>
      </w:rPr>
      <w:t>+356 2095 9000. Email: info@mz.com.mt</w:t>
    </w:r>
    <w:r>
      <w:rPr>
        <w:rFonts w:ascii="Gilroy Light" w:hAnsi="Gilroy Light"/>
        <w:color w:val="002060"/>
        <w:sz w:val="16"/>
        <w:szCs w:val="16"/>
      </w:rPr>
      <w:t xml:space="preserve"> </w:t>
    </w:r>
    <w:r w:rsidRPr="003D57B5">
      <w:rPr>
        <w:rFonts w:ascii="Gilroy Light" w:hAnsi="Gilroy Light"/>
        <w:color w:val="002060"/>
        <w:sz w:val="16"/>
        <w:szCs w:val="16"/>
      </w:rPr>
      <w:t xml:space="preserve"> Website: </w:t>
    </w:r>
    <w:hyperlink r:id="rId1" w:history="1">
      <w:r w:rsidRPr="00F537DC">
        <w:rPr>
          <w:rStyle w:val="Hyperlink"/>
          <w:sz w:val="16"/>
          <w:szCs w:val="16"/>
        </w:rPr>
        <w:t>www.mz.com.mt</w:t>
      </w:r>
    </w:hyperlink>
    <w:r>
      <w:rPr>
        <w:color w:val="002060"/>
      </w:rPr>
      <w:t xml:space="preserve">  </w:t>
    </w:r>
  </w:p>
  <w:p w14:paraId="70A98C93" w14:textId="77777777" w:rsidR="00A62A82" w:rsidRDefault="00A62A82" w:rsidP="00A62A82">
    <w:pPr>
      <w:spacing w:after="0" w:line="240" w:lineRule="auto"/>
      <w:jc w:val="center"/>
    </w:pPr>
    <w:r w:rsidRPr="003D57B5">
      <w:rPr>
        <w:rFonts w:ascii="Gilroy Light" w:hAnsi="Gilroy Light"/>
        <w:color w:val="00B0F0"/>
        <w:sz w:val="16"/>
        <w:szCs w:val="16"/>
      </w:rPr>
      <w:t xml:space="preserve">All correspondence to: </w:t>
    </w:r>
    <w:r w:rsidRPr="003D57B5">
      <w:rPr>
        <w:rFonts w:ascii="Gilroy Light" w:hAnsi="Gilroy Light"/>
        <w:color w:val="002060"/>
        <w:sz w:val="16"/>
        <w:szCs w:val="16"/>
      </w:rPr>
      <w:t>P.O. Box 295, Valletta, VLT 1000, Malta</w:t>
    </w:r>
  </w:p>
  <w:p w14:paraId="48CF20B5" w14:textId="77777777" w:rsidR="00A62A82" w:rsidRDefault="00A62A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D6411" w14:textId="77777777" w:rsidR="00A62A82" w:rsidRDefault="00A62A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D4ECE" w14:textId="77777777" w:rsidR="00CD152F" w:rsidRDefault="00CD152F" w:rsidP="00CD152F">
      <w:pPr>
        <w:spacing w:after="0" w:line="240" w:lineRule="auto"/>
      </w:pPr>
      <w:r>
        <w:separator/>
      </w:r>
    </w:p>
  </w:footnote>
  <w:footnote w:type="continuationSeparator" w:id="0">
    <w:p w14:paraId="5D38FD36" w14:textId="77777777" w:rsidR="00CD152F" w:rsidRDefault="00CD152F" w:rsidP="00CD1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2035" w14:textId="77777777" w:rsidR="00A62A82" w:rsidRDefault="00A62A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5C9DA" w14:textId="273B91BE" w:rsidR="00A62A82" w:rsidRDefault="00A62A82">
    <w:pPr>
      <w:pStyle w:val="Header"/>
    </w:pPr>
    <w:r>
      <w:rPr>
        <w:noProof/>
      </w:rPr>
      <w:drawing>
        <wp:inline distT="0" distB="0" distL="0" distR="0" wp14:anchorId="3352EE8E" wp14:editId="0F9690D6">
          <wp:extent cx="1019175" cy="1096844"/>
          <wp:effectExtent l="0" t="0" r="0" b="8255"/>
          <wp:docPr id="2061249681" name="Picture 1" descr="A picture containing graphics, font, design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289612" name="Picture 1" descr="A picture containing graphics, font, design, graphic de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156" cy="110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4D2AD" w14:textId="77777777" w:rsidR="00A62A82" w:rsidRDefault="00A62A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831C6"/>
    <w:multiLevelType w:val="hybridMultilevel"/>
    <w:tmpl w:val="548625A0"/>
    <w:lvl w:ilvl="0" w:tplc="2B7451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73A8"/>
    <w:multiLevelType w:val="hybridMultilevel"/>
    <w:tmpl w:val="8462418E"/>
    <w:lvl w:ilvl="0" w:tplc="B832FB6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F47A7"/>
    <w:multiLevelType w:val="hybridMultilevel"/>
    <w:tmpl w:val="50E86562"/>
    <w:lvl w:ilvl="0" w:tplc="C1A204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C56AF"/>
    <w:multiLevelType w:val="hybridMultilevel"/>
    <w:tmpl w:val="C9C8B6C8"/>
    <w:lvl w:ilvl="0" w:tplc="B832FB6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E1079"/>
    <w:multiLevelType w:val="multilevel"/>
    <w:tmpl w:val="E2DA7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67B0412"/>
    <w:multiLevelType w:val="hybridMultilevel"/>
    <w:tmpl w:val="E9A022D8"/>
    <w:lvl w:ilvl="0" w:tplc="D9BA2D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748B3"/>
    <w:multiLevelType w:val="hybridMultilevel"/>
    <w:tmpl w:val="912230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45A50"/>
    <w:multiLevelType w:val="hybridMultilevel"/>
    <w:tmpl w:val="A3E2C0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E657B"/>
    <w:multiLevelType w:val="hybridMultilevel"/>
    <w:tmpl w:val="B47686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02E1F"/>
    <w:multiLevelType w:val="hybridMultilevel"/>
    <w:tmpl w:val="C3C03580"/>
    <w:lvl w:ilvl="0" w:tplc="47E6B9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25450"/>
    <w:multiLevelType w:val="hybridMultilevel"/>
    <w:tmpl w:val="AAA87EC0"/>
    <w:lvl w:ilvl="0" w:tplc="8530EDF6">
      <w:start w:val="2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82249400">
    <w:abstractNumId w:val="7"/>
  </w:num>
  <w:num w:numId="2" w16cid:durableId="1987709302">
    <w:abstractNumId w:val="5"/>
  </w:num>
  <w:num w:numId="3" w16cid:durableId="1350330855">
    <w:abstractNumId w:val="0"/>
  </w:num>
  <w:num w:numId="4" w16cid:durableId="1032608934">
    <w:abstractNumId w:val="8"/>
  </w:num>
  <w:num w:numId="5" w16cid:durableId="1893036274">
    <w:abstractNumId w:val="3"/>
  </w:num>
  <w:num w:numId="6" w16cid:durableId="1707678786">
    <w:abstractNumId w:val="1"/>
  </w:num>
  <w:num w:numId="7" w16cid:durableId="1167550497">
    <w:abstractNumId w:val="4"/>
  </w:num>
  <w:num w:numId="8" w16cid:durableId="110131145">
    <w:abstractNumId w:val="2"/>
  </w:num>
  <w:num w:numId="9" w16cid:durableId="1903368981">
    <w:abstractNumId w:val="6"/>
  </w:num>
  <w:num w:numId="10" w16cid:durableId="1716661041">
    <w:abstractNumId w:val="9"/>
  </w:num>
  <w:num w:numId="11" w16cid:durableId="14747582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4A"/>
    <w:rsid w:val="0000534A"/>
    <w:rsid w:val="00041363"/>
    <w:rsid w:val="00043F85"/>
    <w:rsid w:val="00052A48"/>
    <w:rsid w:val="00066FB2"/>
    <w:rsid w:val="000C2952"/>
    <w:rsid w:val="000C5758"/>
    <w:rsid w:val="000D1DD0"/>
    <w:rsid w:val="000D39EE"/>
    <w:rsid w:val="000E3AEE"/>
    <w:rsid w:val="00103F1C"/>
    <w:rsid w:val="001159F5"/>
    <w:rsid w:val="00141306"/>
    <w:rsid w:val="00155F4B"/>
    <w:rsid w:val="001601B9"/>
    <w:rsid w:val="00181220"/>
    <w:rsid w:val="001A5B49"/>
    <w:rsid w:val="001D286A"/>
    <w:rsid w:val="001E486E"/>
    <w:rsid w:val="00203D44"/>
    <w:rsid w:val="00260B2C"/>
    <w:rsid w:val="00274B44"/>
    <w:rsid w:val="0028608D"/>
    <w:rsid w:val="002B0ADB"/>
    <w:rsid w:val="002E729A"/>
    <w:rsid w:val="00303904"/>
    <w:rsid w:val="00374CB7"/>
    <w:rsid w:val="00390685"/>
    <w:rsid w:val="003A5FFC"/>
    <w:rsid w:val="003F50FC"/>
    <w:rsid w:val="003F794C"/>
    <w:rsid w:val="0046711B"/>
    <w:rsid w:val="00497CC3"/>
    <w:rsid w:val="004B3BCA"/>
    <w:rsid w:val="004D13F4"/>
    <w:rsid w:val="004F07FF"/>
    <w:rsid w:val="005074DA"/>
    <w:rsid w:val="00513F32"/>
    <w:rsid w:val="00562852"/>
    <w:rsid w:val="00585FD2"/>
    <w:rsid w:val="00587DE1"/>
    <w:rsid w:val="005A2E94"/>
    <w:rsid w:val="005C1651"/>
    <w:rsid w:val="005C1C7E"/>
    <w:rsid w:val="005F3261"/>
    <w:rsid w:val="00611912"/>
    <w:rsid w:val="00617570"/>
    <w:rsid w:val="00652EA9"/>
    <w:rsid w:val="0066478C"/>
    <w:rsid w:val="00696BFF"/>
    <w:rsid w:val="006C10D1"/>
    <w:rsid w:val="007200D9"/>
    <w:rsid w:val="0072043B"/>
    <w:rsid w:val="00723E32"/>
    <w:rsid w:val="00733636"/>
    <w:rsid w:val="007604AB"/>
    <w:rsid w:val="007631CA"/>
    <w:rsid w:val="007643DF"/>
    <w:rsid w:val="00782B83"/>
    <w:rsid w:val="00794258"/>
    <w:rsid w:val="007A65AA"/>
    <w:rsid w:val="007D4CDE"/>
    <w:rsid w:val="007E3299"/>
    <w:rsid w:val="007F1141"/>
    <w:rsid w:val="007F7A4E"/>
    <w:rsid w:val="00800878"/>
    <w:rsid w:val="00856FDE"/>
    <w:rsid w:val="00876E79"/>
    <w:rsid w:val="008A509C"/>
    <w:rsid w:val="008E4567"/>
    <w:rsid w:val="008E769E"/>
    <w:rsid w:val="00964CF5"/>
    <w:rsid w:val="00984510"/>
    <w:rsid w:val="009E5146"/>
    <w:rsid w:val="00A07FAA"/>
    <w:rsid w:val="00A32004"/>
    <w:rsid w:val="00A356D0"/>
    <w:rsid w:val="00A37DB8"/>
    <w:rsid w:val="00A44457"/>
    <w:rsid w:val="00A62A82"/>
    <w:rsid w:val="00A71D70"/>
    <w:rsid w:val="00A733D5"/>
    <w:rsid w:val="00A81200"/>
    <w:rsid w:val="00A86513"/>
    <w:rsid w:val="00A86A8B"/>
    <w:rsid w:val="00A9031E"/>
    <w:rsid w:val="00AC53D6"/>
    <w:rsid w:val="00AD2785"/>
    <w:rsid w:val="00B1523B"/>
    <w:rsid w:val="00B22F48"/>
    <w:rsid w:val="00B356D3"/>
    <w:rsid w:val="00B56F80"/>
    <w:rsid w:val="00B600B8"/>
    <w:rsid w:val="00B77F5E"/>
    <w:rsid w:val="00BE6558"/>
    <w:rsid w:val="00BF5B0B"/>
    <w:rsid w:val="00C01C67"/>
    <w:rsid w:val="00C07921"/>
    <w:rsid w:val="00C16235"/>
    <w:rsid w:val="00C25649"/>
    <w:rsid w:val="00C30938"/>
    <w:rsid w:val="00C358B6"/>
    <w:rsid w:val="00C440B8"/>
    <w:rsid w:val="00C8044F"/>
    <w:rsid w:val="00CB38F4"/>
    <w:rsid w:val="00CB46CC"/>
    <w:rsid w:val="00CD0C86"/>
    <w:rsid w:val="00CD152F"/>
    <w:rsid w:val="00CF7D90"/>
    <w:rsid w:val="00D463D0"/>
    <w:rsid w:val="00D519E2"/>
    <w:rsid w:val="00D71426"/>
    <w:rsid w:val="00D75E19"/>
    <w:rsid w:val="00D82677"/>
    <w:rsid w:val="00DB0306"/>
    <w:rsid w:val="00DF71E2"/>
    <w:rsid w:val="00E03A3F"/>
    <w:rsid w:val="00E34F5C"/>
    <w:rsid w:val="00E60C0A"/>
    <w:rsid w:val="00E723DB"/>
    <w:rsid w:val="00E76B45"/>
    <w:rsid w:val="00EE57E3"/>
    <w:rsid w:val="00F2476A"/>
    <w:rsid w:val="00F36185"/>
    <w:rsid w:val="00F362E1"/>
    <w:rsid w:val="00F55923"/>
    <w:rsid w:val="00F96045"/>
    <w:rsid w:val="00FB2265"/>
    <w:rsid w:val="00FB4873"/>
    <w:rsid w:val="00FD0749"/>
    <w:rsid w:val="00FE6AAE"/>
    <w:rsid w:val="00FF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383075"/>
  <w15:chartTrackingRefBased/>
  <w15:docId w15:val="{F9055E4B-C2B7-4D67-974F-06FB7AFA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25649"/>
    <w:pPr>
      <w:keepNext/>
      <w:spacing w:after="0" w:line="240" w:lineRule="auto"/>
      <w:jc w:val="both"/>
      <w:outlineLvl w:val="1"/>
    </w:pPr>
    <w:rPr>
      <w:rFonts w:ascii="Century Gothic" w:eastAsia="Times New Roman" w:hAnsi="Century Gothic" w:cs="Times New Roman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053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34A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534A"/>
    <w:rPr>
      <w:rFonts w:ascii="Times New Roman" w:eastAsia="Calibri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74CB7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A8B"/>
    <w:pPr>
      <w:spacing w:after="160" w:line="240" w:lineRule="auto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A8B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7631C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3200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1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52F"/>
  </w:style>
  <w:style w:type="paragraph" w:styleId="Footer">
    <w:name w:val="footer"/>
    <w:basedOn w:val="Normal"/>
    <w:link w:val="FooterChar"/>
    <w:uiPriority w:val="99"/>
    <w:unhideWhenUsed/>
    <w:rsid w:val="00CD1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52F"/>
  </w:style>
  <w:style w:type="character" w:styleId="UnresolvedMention">
    <w:name w:val="Unresolved Mention"/>
    <w:basedOn w:val="DefaultParagraphFont"/>
    <w:uiPriority w:val="99"/>
    <w:semiHidden/>
    <w:unhideWhenUsed/>
    <w:rsid w:val="00856FD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C25649"/>
    <w:rPr>
      <w:rFonts w:ascii="Century Gothic" w:eastAsia="Times New Roman" w:hAnsi="Century Gothic" w:cs="Times New Roman"/>
      <w:b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imanage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z.com.m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iManageProps" /></Relationships>
</file>

<file path=customXML/item2.xml><?xml version="1.0" encoding="utf-8"?>
<properties xmlns="http://www.imanage.com/work/xmlschema">
  <documentid>WORKSITE!5144380.2</documentid>
  <senderid>TCNAVARRO</senderid>
  <senderemail>TCNAVARRO@GANADO.COM</senderemail>
  <lastmodified>2026-01-14T16:40:00.0000000+01:00</lastmodified>
  <database>WORKSITE</database>
</properties>
</file>

<file path=customXML/itemProps2.xml><?xml version="1.0" encoding="utf-8"?>
<ds:datastoreItem xmlns:ds="http://schemas.openxmlformats.org/officeDocument/2006/customXml" ds:itemID="{DFBE4DF9-DF6E-4316-ACCF-F16CC1D67228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8BB72-CEB5-4FDA-BECA-B16814070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921</Characters>
  <Application>Microsoft Office Word</Application>
  <DocSecurity>0</DocSecurity>
  <Lines>41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Ganado Advocates</dc:creator>
  <cp:keywords/>
  <dc:description/>
  <cp:lastModifiedBy>Ganado Advocates </cp:lastModifiedBy>
  <cp:revision>8</cp:revision>
  <cp:lastPrinted>2022-06-23T13:14:00Z</cp:lastPrinted>
  <dcterms:created xsi:type="dcterms:W3CDTF">2026-01-14T10:13:00Z</dcterms:created>
  <dcterms:modified xsi:type="dcterms:W3CDTF">2026-01-14T15:40:00Z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#5144380v2</vt:lpwstr>
  </property>
</Properties>
</file>